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1.xml" ContentType="application/vnd.ms-office.chartstyle+xml"/>
  <Override PartName="/word/charts/colors1.xml" ContentType="application/vnd.ms-office.chartcolorsty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diagrams/quickStyle1.xml" ContentType="application/vnd.openxmlformats-officedocument.drawingml.diagramQuick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diagrams/drawing1.xml" ContentType="application/vnd.openxmlformats-officedocument.drawingml.diagramDrawing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</w:t>
      </w:r>
      <w:r/>
    </w:p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</w:t>
      </w:r>
      <w:r/>
    </w:p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АЛТАЙСКОМ КРАЕВОМ</w:t>
      </w:r>
      <w:r/>
    </w:p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ЗАКОНОДАТЕЛЬНОМ </w:t>
      </w:r>
      <w:r>
        <w:rPr>
          <w:b/>
          <w:sz w:val="28"/>
          <w:szCs w:val="28"/>
        </w:rPr>
        <w:t xml:space="preserve">СОБРАНИИ</w:t>
      </w:r>
      <w:r/>
    </w:p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2022 ГОД</w:t>
      </w:r>
      <w:r/>
    </w:p>
    <w:p>
      <w:pPr>
        <w:jc w:val="center"/>
        <w:tabs>
          <w:tab w:val="left" w:pos="60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851"/>
        <w:jc w:val="both"/>
        <w:tabs>
          <w:tab w:val="left" w:pos="6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году в Алтайское краевое Законодательное Собрание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 xml:space="preserve">74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граждан. В </w:t>
      </w:r>
      <w:r>
        <w:rPr>
          <w:sz w:val="28"/>
          <w:szCs w:val="28"/>
        </w:rPr>
        <w:t xml:space="preserve">сравнении с 2020 годом (886) уменьшилось на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</w:t>
      </w:r>
      <w:bookmarkStart w:id="0" w:name="_GoBack"/>
      <w:r/>
      <w:bookmarkEnd w:id="0"/>
      <w:r>
        <w:rPr>
          <w:sz w:val="28"/>
          <w:szCs w:val="28"/>
        </w:rPr>
        <w:t xml:space="preserve">процентов, в </w:t>
      </w:r>
      <w:r>
        <w:rPr>
          <w:sz w:val="28"/>
          <w:szCs w:val="28"/>
        </w:rPr>
        <w:t xml:space="preserve">сравнении с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годом (</w:t>
      </w:r>
      <w:r>
        <w:rPr>
          <w:sz w:val="28"/>
          <w:szCs w:val="28"/>
        </w:rPr>
        <w:t xml:space="preserve">1374</w:t>
      </w:r>
      <w:r>
        <w:rPr>
          <w:sz w:val="28"/>
          <w:szCs w:val="28"/>
        </w:rPr>
        <w:t xml:space="preserve">) количество обращений </w:t>
      </w:r>
      <w:r>
        <w:rPr>
          <w:sz w:val="28"/>
          <w:szCs w:val="28"/>
        </w:rPr>
        <w:t xml:space="preserve">уменьшилось </w:t>
      </w:r>
      <w:r>
        <w:rPr>
          <w:sz w:val="28"/>
          <w:szCs w:val="28"/>
        </w:rPr>
        <w:t xml:space="preserve">на 45</w:t>
      </w:r>
      <w:r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ind w:firstLine="851"/>
        <w:jc w:val="both"/>
        <w:tabs>
          <w:tab w:val="left" w:pos="60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74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поступивших за текущий период обращений </w:t>
      </w:r>
      <w:r>
        <w:rPr>
          <w:sz w:val="28"/>
          <w:szCs w:val="28"/>
        </w:rPr>
        <w:t xml:space="preserve">429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58</w:t>
      </w:r>
      <w:r>
        <w:rPr>
          <w:sz w:val="28"/>
          <w:szCs w:val="28"/>
        </w:rPr>
        <w:t xml:space="preserve">%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письменной форме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форме электронного документа</w:t>
      </w:r>
      <w:r>
        <w:rPr>
          <w:sz w:val="28"/>
          <w:szCs w:val="28"/>
        </w:rPr>
        <w:t xml:space="preserve"> из 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 обращения информа</w:t>
      </w:r>
      <w:r>
        <w:rPr>
          <w:sz w:val="28"/>
          <w:szCs w:val="28"/>
        </w:rPr>
        <w:t xml:space="preserve">ционного характера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314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42</w:t>
      </w:r>
      <w:r>
        <w:rPr>
          <w:sz w:val="28"/>
          <w:szCs w:val="28"/>
        </w:rPr>
        <w:t xml:space="preserve">%)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поступило </w:t>
      </w:r>
      <w:r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личных</w:t>
      </w:r>
      <w:r>
        <w:rPr>
          <w:sz w:val="28"/>
          <w:szCs w:val="28"/>
        </w:rPr>
        <w:t xml:space="preserve"> приемов должностными лицами Алтайского краевого Законодательного Собрания. </w:t>
      </w:r>
      <w:r>
        <w:rPr>
          <w:sz w:val="28"/>
          <w:szCs w:val="28"/>
        </w:rPr>
        <w:t xml:space="preserve">Общее количество коллективных обращений составило 35 (5%).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34 (5%) обращения </w:t>
      </w:r>
      <w:r>
        <w:rPr>
          <w:sz w:val="28"/>
          <w:szCs w:val="28"/>
        </w:rPr>
        <w:t xml:space="preserve">поступило в Алтайское краевое Законодательное Собрание из органов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власти Алтайского края и органов власти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субъектов Российской Федерации для рассмотрения по компетенции.</w:t>
      </w:r>
      <w:r/>
    </w:p>
    <w:p>
      <w:pPr>
        <w:ind w:firstLine="851"/>
        <w:jc w:val="both"/>
        <w:spacing w:line="276" w:lineRule="auto"/>
        <w:tabs>
          <w:tab w:val="left" w:pos="60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851"/>
        <w:jc w:val="both"/>
        <w:spacing w:line="276" w:lineRule="auto"/>
        <w:tabs>
          <w:tab w:val="left" w:pos="60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851"/>
        <w:jc w:val="center"/>
        <w:spacing w:line="276" w:lineRule="auto"/>
        <w:tabs>
          <w:tab w:val="left" w:pos="6060" w:leader="none"/>
        </w:tabs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3092624</wp:posOffset>
                </wp:positionH>
                <wp:positionV relativeFrom="paragraph">
                  <wp:posOffset>439766</wp:posOffset>
                </wp:positionV>
                <wp:extent cx="2061556" cy="415579"/>
                <wp:effectExtent l="0" t="0" r="0" b="41910"/>
                <wp:wrapNone/>
                <wp:docPr id="1" name="Выгнутая вверх стрел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61556" cy="415579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105" type="#_x0000_t105" style="position:absolute;z-index:251661312;o:allowoverlap:true;o:allowincell:true;mso-position-horizontal-relative:text;margin-left:243.5pt;mso-position-horizontal:absolute;mso-position-vertical-relative:text;margin-top:34.6pt;mso-position-vertical:absolute;width:162.3pt;height:32.7pt;mso-wrap-distance-left:9.0pt;mso-wrap-distance-top:0.0pt;mso-wrap-distance-right:9.0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1257819</wp:posOffset>
                </wp:positionH>
                <wp:positionV relativeFrom="paragraph">
                  <wp:posOffset>488430</wp:posOffset>
                </wp:positionV>
                <wp:extent cx="1927860" cy="365760"/>
                <wp:effectExtent l="0" t="0" r="0" b="34290"/>
                <wp:wrapNone/>
                <wp:docPr id="2" name="Выгнутая вверх стрел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27860" cy="365760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05" type="#_x0000_t105" style="position:absolute;z-index:251663360;o:allowoverlap:true;o:allowincell:true;mso-position-horizontal-relative:text;margin-left:99.0pt;mso-position-horizontal:absolute;mso-position-vertical-relative:text;margin-top:38.5pt;mso-position-vertical:absolute;width:151.8pt;height:28.8pt;mso-wrap-distance-left:9.0pt;mso-wrap-distance-top:0.0pt;mso-wrap-distance-right:9.0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sz w:val="28"/>
          <w:szCs w:val="28"/>
        </w:rPr>
        <w:drawing>
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<wp:simplePos x="0" y="0"/>
            <wp:positionH relativeFrom="margin">
              <wp:posOffset>101657</wp:posOffset>
            </wp:positionH>
            <wp:positionV relativeFrom="paragraph">
              <wp:posOffset>296545</wp:posOffset>
            </wp:positionV>
            <wp:extent cx="5996940" cy="1859280"/>
            <wp:effectExtent l="38100" t="57150" r="41910" b="45720"/>
            <wp:wrapTopAndBottom/>
            <wp:docPr id="3" name="Схема 4"/>
            <wp:cNvGraphicFramePr/>
            <a:graphic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3" r:qs="rId14" r:cs="rId12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8"/>
          <w:szCs w:val="28"/>
        </w:rPr>
        <w:t xml:space="preserve">Динамика обращений по годам</w:t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Распределение обращений граждан </w:t>
      </w:r>
      <w:r/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основным разделам общественных отношений</w:t>
      </w:r>
      <w:r/>
    </w:p>
    <w:p>
      <w:pPr>
        <w:ind w:firstLine="708"/>
        <w:jc w:val="center"/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/>
    </w:p>
    <w:tbl>
      <w:tblPr>
        <w:tblStyle w:val="614"/>
        <w:tblW w:w="0" w:type="auto"/>
        <w:tblLook w:val="04A0" w:firstRow="1" w:lastRow="0" w:firstColumn="1" w:lastColumn="0" w:noHBand="0" w:noVBand="1"/>
      </w:tblPr>
      <w:tblGrid>
        <w:gridCol w:w="6374"/>
        <w:gridCol w:w="1559"/>
        <w:gridCol w:w="1412"/>
      </w:tblGrid>
      <w:tr>
        <w:trPr>
          <w:trHeight w:val="340"/>
        </w:trPr>
        <w:tc>
          <w:tcPr>
            <w:gridSpan w:val="3"/>
            <w:tcW w:w="9345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b/>
                <w:sz w:val="26"/>
                <w:szCs w:val="26"/>
              </w:rPr>
              <w:t xml:space="preserve">Государство, общество, политика</w:t>
            </w:r>
            <w:r/>
          </w:p>
        </w:tc>
      </w:tr>
      <w:tr>
        <w:trPr>
          <w:trHeight w:val="340"/>
        </w:trPr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Законодат</w:t>
            </w:r>
            <w:r>
              <w:t xml:space="preserve">ельство Российской Федерации. Законодательство субъектов РФ. Привлечение к административной ответственности. Административные правонарушения. Действие (бездействие) при рассмотрении обращения. Деятельность представительных органов местного самоуправления. </w:t>
            </w:r>
            <w:r>
              <w:t xml:space="preserve">Работа законодательных (представительных) органов государственной власти субъектов Российской Федерации. Деятельность депутатов</w:t>
            </w:r>
            <w:r>
              <w:t xml:space="preserve">.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t xml:space="preserve">154</w:t>
            </w:r>
            <w:r/>
          </w:p>
          <w:p>
            <w:pPr>
              <w:jc w:val="center"/>
              <w:spacing w:line="276" w:lineRule="auto"/>
            </w:pPr>
            <w:r>
              <w:t xml:space="preserve">обращения</w:t>
            </w:r>
            <w:r/>
          </w:p>
        </w:tc>
        <w:tc>
          <w:tcPr>
            <w:tcW w:w="1412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t xml:space="preserve">21%</w:t>
            </w:r>
            <w:r/>
          </w:p>
        </w:tc>
      </w:tr>
      <w:tr>
        <w:trPr>
          <w:trHeight w:val="340"/>
        </w:trPr>
        <w:tc>
          <w:tcPr>
            <w:gridSpan w:val="3"/>
            <w:tcW w:w="9345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rPr>
                <w:b/>
                <w:sz w:val="26"/>
                <w:szCs w:val="26"/>
              </w:rPr>
              <w:t xml:space="preserve">Социальная сфера</w:t>
            </w:r>
            <w:r/>
          </w:p>
        </w:tc>
      </w:tr>
      <w:tr>
        <w:trPr>
          <w:trHeight w:val="340"/>
        </w:trPr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Семья. Труд и занятость населения. Социальное обеспечение. Культура. Образование.</w:t>
            </w:r>
            <w:r>
              <w:t xml:space="preserve"> Прожиточный минимум.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t xml:space="preserve">101</w:t>
            </w:r>
            <w:r/>
          </w:p>
          <w:p>
            <w:pPr>
              <w:jc w:val="center"/>
              <w:spacing w:line="276" w:lineRule="auto"/>
            </w:pPr>
            <w:r>
              <w:t xml:space="preserve">обращени</w:t>
            </w:r>
            <w:r>
              <w:t xml:space="preserve">е</w:t>
            </w:r>
            <w:r/>
          </w:p>
        </w:tc>
        <w:tc>
          <w:tcPr>
            <w:tcW w:w="1412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t xml:space="preserve">14%</w:t>
            </w:r>
            <w:r/>
          </w:p>
        </w:tc>
      </w:tr>
      <w:tr>
        <w:trPr>
          <w:trHeight w:val="340"/>
        </w:trPr>
        <w:tc>
          <w:tcPr>
            <w:gridSpan w:val="3"/>
            <w:tcW w:w="9345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Здравоохранение</w:t>
            </w:r>
            <w:r/>
          </w:p>
        </w:tc>
      </w:tr>
      <w:tr>
        <w:trPr>
          <w:trHeight w:val="340"/>
        </w:trPr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Лечение и оказание медицинской помощи. Лекарственное обеспечение.</w:t>
            </w:r>
            <w:r>
              <w:t xml:space="preserve"> </w:t>
            </w:r>
            <w:r>
              <w:t xml:space="preserve">Квоты на оказание высокотехнологической медицинской помощи.</w:t>
            </w:r>
            <w:r>
              <w:t xml:space="preserve"> </w:t>
            </w:r>
            <w:r>
              <w:t xml:space="preserve">Медицинское обслуживание сельских жителей.</w:t>
            </w:r>
            <w:r>
              <w:t xml:space="preserve"> </w:t>
            </w:r>
            <w:r>
              <w:t xml:space="preserve">Установление группы инвалидности.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t xml:space="preserve">124</w:t>
            </w:r>
            <w:r/>
          </w:p>
          <w:p>
            <w:pPr>
              <w:jc w:val="center"/>
              <w:spacing w:line="276" w:lineRule="auto"/>
            </w:pPr>
            <w:r>
              <w:t xml:space="preserve">обращени</w:t>
            </w:r>
            <w:r>
              <w:t xml:space="preserve">я</w:t>
            </w:r>
            <w:r/>
          </w:p>
        </w:tc>
        <w:tc>
          <w:tcPr>
            <w:tcW w:w="1412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t xml:space="preserve">17%</w:t>
            </w:r>
            <w:r/>
          </w:p>
        </w:tc>
      </w:tr>
      <w:tr>
        <w:trPr>
          <w:trHeight w:val="340"/>
        </w:trPr>
        <w:tc>
          <w:tcPr>
            <w:gridSpan w:val="3"/>
            <w:tcW w:w="9345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Жилищно-коммунальная сфера</w:t>
            </w:r>
            <w:r/>
          </w:p>
        </w:tc>
      </w:tr>
      <w:tr>
        <w:trPr>
          <w:trHeight w:val="340"/>
        </w:trPr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Оплата жилищно-коммунальных услуг (ЖКХ), взносов в Фонд капитального ремонта.</w:t>
            </w:r>
            <w:r/>
          </w:p>
          <w:p>
            <w:pPr>
              <w:jc w:val="both"/>
              <w:spacing w:line="240" w:lineRule="exact"/>
              <w:rPr>
                <w:sz w:val="28"/>
                <w:szCs w:val="28"/>
              </w:rPr>
            </w:pPr>
            <w:r>
              <w:t xml:space="preserve">Управляющие организации, товарищества собственников жилья и иные формы управления собственностью</w:t>
            </w:r>
            <w:r>
              <w:t xml:space="preserve">.</w:t>
            </w:r>
            <w:r>
              <w:t xml:space="preserve">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t xml:space="preserve">54</w:t>
            </w:r>
            <w:r/>
          </w:p>
          <w:p>
            <w:pPr>
              <w:jc w:val="center"/>
              <w:spacing w:line="276" w:lineRule="auto"/>
            </w:pPr>
            <w:r>
              <w:t xml:space="preserve">обращения</w:t>
            </w:r>
            <w:r/>
          </w:p>
        </w:tc>
        <w:tc>
          <w:tcPr>
            <w:tcW w:w="1412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t xml:space="preserve">7%</w:t>
            </w:r>
            <w:r/>
          </w:p>
        </w:tc>
      </w:tr>
      <w:tr>
        <w:trPr>
          <w:trHeight w:val="340"/>
        </w:trPr>
        <w:tc>
          <w:tcPr>
            <w:gridSpan w:val="3"/>
            <w:tcW w:w="9345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b/>
                <w:sz w:val="26"/>
                <w:szCs w:val="26"/>
              </w:rPr>
              <w:t xml:space="preserve">Оборона, безопасность, правосудие</w:t>
            </w:r>
            <w:r/>
          </w:p>
        </w:tc>
      </w:tr>
      <w:tr>
        <w:trPr>
          <w:trHeight w:val="340"/>
        </w:trPr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Оборона. Безопасность и охрана правопорядка. Уголовное право. Исполнение наказаний. Правосудие.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t xml:space="preserve">48</w:t>
            </w:r>
            <w:r/>
          </w:p>
          <w:p>
            <w:pPr>
              <w:jc w:val="center"/>
              <w:spacing w:line="276" w:lineRule="auto"/>
            </w:pPr>
            <w:r>
              <w:t xml:space="preserve">обращени</w:t>
            </w:r>
            <w:r>
              <w:t xml:space="preserve">й</w:t>
            </w:r>
            <w:r/>
          </w:p>
        </w:tc>
        <w:tc>
          <w:tcPr>
            <w:tcW w:w="1412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t xml:space="preserve">6%</w:t>
            </w:r>
            <w:r/>
          </w:p>
        </w:tc>
      </w:tr>
      <w:tr>
        <w:trPr>
          <w:trHeight w:val="340"/>
        </w:trPr>
        <w:tc>
          <w:tcPr>
            <w:gridSpan w:val="3"/>
            <w:tcW w:w="9345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Экономика</w:t>
            </w:r>
            <w:r/>
          </w:p>
        </w:tc>
      </w:tr>
      <w:tr>
        <w:trPr>
          <w:trHeight w:val="340"/>
        </w:trPr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Финансы. Хозяйственная деятельность. Природные ресурсы и охрана окружающей природной среды. Информация и информатизация.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t xml:space="preserve">126</w:t>
            </w:r>
            <w:r/>
          </w:p>
          <w:p>
            <w:pPr>
              <w:jc w:val="center"/>
              <w:spacing w:line="276" w:lineRule="auto"/>
            </w:pPr>
            <w:r>
              <w:t xml:space="preserve">обращени</w:t>
            </w:r>
            <w:r>
              <w:t xml:space="preserve">й</w:t>
            </w:r>
            <w:r>
              <w:t xml:space="preserve"> </w:t>
            </w:r>
            <w:r/>
          </w:p>
        </w:tc>
        <w:tc>
          <w:tcPr>
            <w:tcW w:w="1412" w:type="dxa"/>
            <w:textDirection w:val="lrTb"/>
            <w:noWrap w:val="false"/>
          </w:tcPr>
          <w:p>
            <w:pPr>
              <w:jc w:val="center"/>
              <w:spacing w:line="276" w:lineRule="auto"/>
            </w:pPr>
            <w:r>
              <w:t xml:space="preserve">17%</w:t>
            </w:r>
            <w:r/>
          </w:p>
        </w:tc>
      </w:tr>
    </w:tbl>
    <w:p>
      <w:pPr>
        <w:ind w:firstLine="851"/>
        <w:jc w:val="both"/>
        <w:spacing w:line="276" w:lineRule="auto"/>
        <w:tabs>
          <w:tab w:val="left" w:pos="60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426"/>
        <w:jc w:val="both"/>
        <w:spacing w:line="276" w:lineRule="auto"/>
        <w:tabs>
          <w:tab w:val="left" w:pos="6060" w:leader="none"/>
        </w:tabs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486400" cy="3619500"/>
            <wp:effectExtent l="0" t="0" r="0" b="0"/>
            <wp:docPr id="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/>
    </w:p>
    <w:p>
      <w:pPr>
        <w:ind w:firstLine="851"/>
        <w:jc w:val="both"/>
        <w:spacing w:line="276" w:lineRule="auto"/>
        <w:tabs>
          <w:tab w:val="left" w:pos="60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851"/>
        <w:jc w:val="both"/>
        <w:spacing w:line="276" w:lineRule="auto"/>
        <w:tabs>
          <w:tab w:val="left" w:pos="60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276" w:lineRule="auto"/>
        <w:tabs>
          <w:tab w:val="left" w:pos="6060" w:leader="none"/>
        </w:tabs>
        <w:rPr>
          <w:b/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 xml:space="preserve">Распределение обращений</w:t>
      </w:r>
      <w:r>
        <w:rPr>
          <w:b/>
          <w:color w:val="171717" w:themeColor="background2" w:themeShade="1A"/>
          <w:sz w:val="28"/>
          <w:szCs w:val="28"/>
        </w:rPr>
        <w:t xml:space="preserve"> </w:t>
      </w:r>
      <w:r>
        <w:rPr>
          <w:b/>
          <w:color w:val="171717" w:themeColor="background2" w:themeShade="1A"/>
          <w:sz w:val="28"/>
          <w:szCs w:val="28"/>
        </w:rPr>
        <w:t xml:space="preserve">по вопросам ведения</w:t>
      </w:r>
      <w:r/>
    </w:p>
    <w:p>
      <w:pPr>
        <w:jc w:val="center"/>
        <w:spacing w:line="276" w:lineRule="auto"/>
        <w:tabs>
          <w:tab w:val="left" w:pos="6060" w:leader="none"/>
        </w:tabs>
        <w:rPr>
          <w:b/>
          <w:color w:val="171717" w:themeColor="background2" w:themeShade="1A"/>
          <w:sz w:val="28"/>
          <w:szCs w:val="28"/>
        </w:rPr>
      </w:pPr>
      <w:r>
        <w:rPr>
          <w:b/>
          <w:color w:val="171717" w:themeColor="background2" w:themeShade="1A"/>
          <w:sz w:val="28"/>
          <w:szCs w:val="28"/>
        </w:rPr>
        <w:t xml:space="preserve">постоянных</w:t>
      </w:r>
      <w:r>
        <w:rPr>
          <w:b/>
          <w:color w:val="171717" w:themeColor="background2" w:themeShade="1A"/>
          <w:sz w:val="28"/>
          <w:szCs w:val="28"/>
        </w:rPr>
        <w:t xml:space="preserve"> комитетов</w:t>
      </w:r>
      <w:r/>
    </w:p>
    <w:p>
      <w:pPr>
        <w:ind w:firstLine="851"/>
        <w:jc w:val="center"/>
        <w:spacing w:line="276" w:lineRule="auto"/>
        <w:tabs>
          <w:tab w:val="left" w:pos="60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614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2120"/>
      </w:tblGrid>
      <w:tr>
        <w:trPr/>
        <w:tc>
          <w:tcPr>
            <w:tcW w:w="4673" w:type="dxa"/>
            <w:textDirection w:val="lrTb"/>
            <w:noWrap w:val="false"/>
          </w:tcPr>
          <w:p>
            <w:pPr>
              <w:jc w:val="center"/>
              <w:spacing w:line="220" w:lineRule="exact"/>
              <w:rPr>
                <w:b/>
              </w:rPr>
            </w:pPr>
            <w:r>
              <w:rPr>
                <w:b/>
              </w:rPr>
              <w:t xml:space="preserve">Наименование комитета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line="220" w:lineRule="exact"/>
              <w:rPr>
                <w:b/>
              </w:rPr>
            </w:pPr>
            <w:r>
              <w:rPr>
                <w:b/>
              </w:rPr>
              <w:t xml:space="preserve">Количество обращений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jc w:val="center"/>
              <w:spacing w:line="220" w:lineRule="exact"/>
              <w:rPr>
                <w:b/>
              </w:rPr>
            </w:pPr>
            <w:r>
              <w:rPr>
                <w:b/>
              </w:rPr>
              <w:t xml:space="preserve">Процент от общего числа обращений </w:t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r>
              <w:t xml:space="preserve">Комитет по социальной защите и занятости населения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180</w:t>
            </w:r>
            <w:r/>
          </w:p>
          <w:p>
            <w:pPr>
              <w:jc w:val="center"/>
            </w:pPr>
            <w:r>
              <w:t xml:space="preserve">обращений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jc w:val="center"/>
            </w:pPr>
            <w:r>
              <w:t xml:space="preserve">24%</w:t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r>
              <w:t xml:space="preserve">Комитет по правовой политике и местному самоуправлению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159</w:t>
            </w:r>
            <w:r/>
          </w:p>
          <w:p>
            <w:pPr>
              <w:jc w:val="center"/>
            </w:pPr>
            <w:r>
              <w:t xml:space="preserve">обращений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jc w:val="center"/>
            </w:pPr>
            <w:r>
              <w:t xml:space="preserve">21%</w:t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r>
              <w:t xml:space="preserve">Комитет по здравоохранению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96</w:t>
            </w:r>
            <w:r/>
          </w:p>
          <w:p>
            <w:pPr>
              <w:jc w:val="center"/>
            </w:pPr>
            <w:r>
              <w:t xml:space="preserve">обращений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jc w:val="center"/>
            </w:pPr>
            <w:r>
              <w:t xml:space="preserve">13%</w:t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r>
              <w:t xml:space="preserve">Комитет по строительству, жилищно-коммунальному хозяйству, транспорту и связи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57</w:t>
            </w:r>
            <w:r/>
          </w:p>
          <w:p>
            <w:pPr>
              <w:jc w:val="center"/>
            </w:pPr>
            <w:r>
              <w:t xml:space="preserve">обращений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jc w:val="center"/>
            </w:pPr>
            <w:r>
              <w:t xml:space="preserve">8%</w:t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r>
              <w:t xml:space="preserve">Комитет по бюджету, </w:t>
            </w:r>
            <w:r>
              <w:t xml:space="preserve">налоговой ,</w:t>
            </w:r>
            <w:r>
              <w:t xml:space="preserve"> экономической политике и имущественным отношениям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43</w:t>
            </w:r>
            <w:r/>
          </w:p>
          <w:p>
            <w:pPr>
              <w:jc w:val="center"/>
            </w:pPr>
            <w:r>
              <w:t xml:space="preserve">обращения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jc w:val="center"/>
            </w:pPr>
            <w:r>
              <w:t xml:space="preserve">6%</w:t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r>
              <w:t xml:space="preserve">Комитет по аграрной политике, природопользованию и экологии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39</w:t>
            </w:r>
            <w:r/>
          </w:p>
          <w:p>
            <w:pPr>
              <w:jc w:val="center"/>
            </w:pPr>
            <w:r>
              <w:t xml:space="preserve">обращений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jc w:val="center"/>
            </w:pPr>
            <w:r>
              <w:t xml:space="preserve">5%</w:t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r>
              <w:t xml:space="preserve">Комитет по спорту, культуре и молодежной политике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  <w:p>
            <w:pPr>
              <w:jc w:val="center"/>
            </w:pPr>
            <w:r>
              <w:t xml:space="preserve">обращений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jc w:val="center"/>
            </w:pPr>
            <w:r>
              <w:t xml:space="preserve">4%</w:t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r>
              <w:t xml:space="preserve">Комитет по образованию и науке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25</w:t>
            </w:r>
            <w:r/>
          </w:p>
          <w:p>
            <w:pPr>
              <w:jc w:val="center"/>
            </w:pPr>
            <w:r>
              <w:t xml:space="preserve">обращений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jc w:val="center"/>
            </w:pPr>
            <w:r>
              <w:t xml:space="preserve">3%</w:t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r>
              <w:t xml:space="preserve">Комитет по промышленности, предпринимательству и туризму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  <w:p>
            <w:pPr>
              <w:jc w:val="center"/>
            </w:pPr>
            <w:r>
              <w:t xml:space="preserve">обращение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jc w:val="center"/>
            </w:pPr>
            <w:r>
              <w:t xml:space="preserve">3%</w:t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r>
              <w:t xml:space="preserve">Постоянные депутатские объединения А</w:t>
            </w:r>
            <w:r>
              <w:t xml:space="preserve">лтайского краевого Законодательного Собрания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25</w:t>
            </w:r>
            <w:r/>
          </w:p>
          <w:p>
            <w:pPr>
              <w:jc w:val="center"/>
            </w:pPr>
            <w:r>
              <w:t xml:space="preserve">обращений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jc w:val="center"/>
            </w:pPr>
            <w:r>
              <w:t xml:space="preserve">3%</w:t>
            </w:r>
            <w:r/>
          </w:p>
        </w:tc>
      </w:tr>
      <w:tr>
        <w:trPr/>
        <w:tc>
          <w:tcPr>
            <w:tcW w:w="4673" w:type="dxa"/>
            <w:textDirection w:val="lrTb"/>
            <w:noWrap w:val="false"/>
          </w:tcPr>
          <w:p>
            <w:r>
              <w:t xml:space="preserve">Аппарат</w:t>
            </w:r>
            <w:r>
              <w:t xml:space="preserve"> Алтайского краевого Законодательного Собрания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29</w:t>
            </w:r>
            <w:r/>
          </w:p>
          <w:p>
            <w:pPr>
              <w:jc w:val="center"/>
            </w:pPr>
            <w:r>
              <w:t xml:space="preserve">обращений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jc w:val="center"/>
            </w:pPr>
            <w:r>
              <w:t xml:space="preserve">4%</w:t>
            </w:r>
            <w:r/>
          </w:p>
        </w:tc>
      </w:tr>
    </w:tbl>
    <w:p>
      <w:pPr>
        <w:ind w:firstLine="851"/>
        <w:jc w:val="both"/>
        <w:spacing w:line="276" w:lineRule="auto"/>
        <w:tabs>
          <w:tab w:val="left" w:pos="60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обращений, поступивших в Алтайское краевое Законодательное Собрание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2022 год, на </w:t>
      </w:r>
      <w:r>
        <w:rPr>
          <w:sz w:val="28"/>
          <w:szCs w:val="28"/>
        </w:rPr>
        <w:t xml:space="preserve">521 (70%)</w:t>
      </w:r>
      <w:r>
        <w:rPr>
          <w:sz w:val="28"/>
          <w:szCs w:val="28"/>
        </w:rPr>
        <w:t xml:space="preserve"> даны ответы</w:t>
      </w:r>
      <w:r>
        <w:rPr>
          <w:sz w:val="28"/>
          <w:szCs w:val="28"/>
        </w:rPr>
        <w:t xml:space="preserve"> или направлены в соответствующие органы или должностным лицам, в компетенцию которых входит решение поставленных в обращениях вопросов. На 189 (25%) обращений даны разъяснения в ходе личных приемов </w:t>
      </w:r>
      <w:r>
        <w:rPr>
          <w:sz w:val="28"/>
          <w:szCs w:val="28"/>
        </w:rPr>
        <w:t xml:space="preserve">должностными лицами Алтайского кр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евого Законодательного Собрания. 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571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64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2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9"/>
    <w:next w:val="60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9"/>
    <w:next w:val="60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9"/>
    <w:next w:val="60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9"/>
    <w:next w:val="60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9"/>
    <w:next w:val="60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9"/>
    <w:next w:val="60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9"/>
    <w:next w:val="60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9"/>
    <w:next w:val="60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9"/>
    <w:next w:val="60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9"/>
    <w:next w:val="60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0"/>
    <w:link w:val="33"/>
    <w:uiPriority w:val="10"/>
    <w:rPr>
      <w:sz w:val="48"/>
      <w:szCs w:val="48"/>
    </w:rPr>
  </w:style>
  <w:style w:type="paragraph" w:styleId="35">
    <w:name w:val="Subtitle"/>
    <w:basedOn w:val="609"/>
    <w:next w:val="60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0"/>
    <w:link w:val="35"/>
    <w:uiPriority w:val="11"/>
    <w:rPr>
      <w:sz w:val="24"/>
      <w:szCs w:val="24"/>
    </w:rPr>
  </w:style>
  <w:style w:type="paragraph" w:styleId="37">
    <w:name w:val="Quote"/>
    <w:basedOn w:val="609"/>
    <w:next w:val="60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9"/>
    <w:next w:val="60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0"/>
    <w:link w:val="41"/>
    <w:uiPriority w:val="99"/>
  </w:style>
  <w:style w:type="paragraph" w:styleId="43">
    <w:name w:val="Footer"/>
    <w:basedOn w:val="60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0"/>
    <w:link w:val="43"/>
    <w:uiPriority w:val="99"/>
  </w:style>
  <w:style w:type="paragraph" w:styleId="45">
    <w:name w:val="Caption"/>
    <w:basedOn w:val="609"/>
    <w:next w:val="6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0"/>
    <w:uiPriority w:val="99"/>
    <w:unhideWhenUsed/>
    <w:rPr>
      <w:vertAlign w:val="superscript"/>
    </w:rPr>
  </w:style>
  <w:style w:type="paragraph" w:styleId="177">
    <w:name w:val="endnote text"/>
    <w:basedOn w:val="60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0"/>
    <w:uiPriority w:val="99"/>
    <w:semiHidden/>
    <w:unhideWhenUsed/>
    <w:rPr>
      <w:vertAlign w:val="superscript"/>
    </w:rPr>
  </w:style>
  <w:style w:type="paragraph" w:styleId="180">
    <w:name w:val="toc 1"/>
    <w:basedOn w:val="609"/>
    <w:next w:val="60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9"/>
    <w:next w:val="60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9"/>
    <w:next w:val="60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9"/>
    <w:next w:val="60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9"/>
    <w:next w:val="60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9"/>
    <w:next w:val="60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9"/>
    <w:next w:val="60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9"/>
    <w:next w:val="60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9"/>
    <w:next w:val="60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9"/>
    <w:next w:val="609"/>
    <w:uiPriority w:val="99"/>
    <w:unhideWhenUsed/>
    <w:pPr>
      <w:spacing w:after="0" w:afterAutospacing="0"/>
    </w:pPr>
  </w:style>
  <w:style w:type="paragraph" w:styleId="60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0" w:default="1">
    <w:name w:val="Default Paragraph Font"/>
    <w:uiPriority w:val="1"/>
    <w:semiHidden/>
    <w:unhideWhenUsed/>
  </w:style>
  <w:style w:type="table" w:styleId="6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2" w:default="1">
    <w:name w:val="No List"/>
    <w:uiPriority w:val="99"/>
    <w:semiHidden/>
    <w:unhideWhenUsed/>
  </w:style>
  <w:style w:type="paragraph" w:styleId="613">
    <w:name w:val="List Paragraph"/>
    <w:basedOn w:val="609"/>
    <w:uiPriority w:val="34"/>
    <w:qFormat/>
    <w:pPr>
      <w:contextualSpacing/>
      <w:ind w:left="720"/>
    </w:pPr>
  </w:style>
  <w:style w:type="table" w:styleId="614">
    <w:name w:val="Table Grid"/>
    <w:basedOn w:val="611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15">
    <w:name w:val="Balloon Text"/>
    <w:basedOn w:val="609"/>
    <w:link w:val="61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16" w:customStyle="1">
    <w:name w:val="Текст выноски Знак"/>
    <w:basedOn w:val="610"/>
    <w:link w:val="61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617">
    <w:name w:val="Hyperlink"/>
    <w:basedOn w:val="61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diagramData" Target="diagrams/data1.xml" /><Relationship Id="rId11" Type="http://schemas.microsoft.com/office/2007/relationships/diagramDrawing" Target="diagrams/drawing1.xml" /><Relationship Id="rId12" Type="http://schemas.openxmlformats.org/officeDocument/2006/relationships/diagramColors" Target="diagrams/colors1.xml" /><Relationship Id="rId13" Type="http://schemas.openxmlformats.org/officeDocument/2006/relationships/diagramLayout" Target="diagrams/layout1.xml" /><Relationship Id="rId14" Type="http://schemas.openxmlformats.org/officeDocument/2006/relationships/diagramQuickStyle" Target="diagrams/quickStyle1.xml" /><Relationship Id="rId15" Type="http://schemas.openxmlformats.org/officeDocument/2006/relationships/chart" Target="charts/chart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 bwMode="auto">
        <a:prstGeom prst="rect">
          <a:avLst/>
        </a:prstGeom>
        <a:noFill/>
        <a:ln>
          <a:noFill/>
        </a:ln>
        <a:effectLst/>
      </c:spPr>
    </c:floor>
    <c:sideWall>
      <c:thickness val="0"/>
      <c:spPr bwMode="auto">
        <a:prstGeom prst="rect">
          <a:avLst/>
        </a:prstGeom>
        <a:noFill/>
        <a:ln>
          <a:noFill/>
          <a:miter/>
        </a:ln>
        <a:effectLst/>
      </c:spPr>
    </c:sideWall>
    <c:backWall>
      <c:thickness val="0"/>
      <c:spPr bwMode="auto">
        <a:prstGeom prst="rect">
          <a:avLst/>
        </a:prstGeom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</c:spPr>
          </c:dPt>
          <c:dPt>
            <c:idx val="4"/>
            <c:bubble3D val="0"/>
            <c:spPr bwMode="auto">
              <a:prstGeom prst="rect">
                <a:avLst/>
              </a:prstGeom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</c:spPr>
          </c:dPt>
          <c:dPt>
            <c:idx val="5"/>
            <c:bubble3D val="0"/>
            <c:spPr bwMode="auto">
              <a:prstGeom prst="rect">
                <a:avLst/>
              </a:prstGeom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</c:spPr>
          </c:dPt>
          <c:dLbls>
            <c:dLbl>
              <c:idx val="0"/>
              <c:dLblPos val="bestFit"/>
              <c:layout>
                <c:manualLayout>
                  <c:x val="-0.0092592592592592587"/>
                  <c:y val="-0.028070175438596499"/>
                </c:manualLayout>
              </c:layout>
              <c:showBubbleSize val="0"/>
              <c:showCatName val="1"/>
              <c:showLegendKey val="0"/>
              <c:showPercent val="1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spc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"/>
              <c:dLblPos val="bestFit"/>
              <c:layout>
                <c:manualLayout>
                  <c:x val="-0.020833333333333332"/>
                  <c:y val="0.070175438596491224"/>
                </c:manualLayout>
              </c:layout>
              <c:showBubbleSize val="0"/>
              <c:showCatName val="1"/>
              <c:showLegendKey val="0"/>
              <c:showPercent val="1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spc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2"/>
              <c:dLblPos val="bestFit"/>
              <c:layout>
                <c:manualLayout>
                  <c:x val="0.041666666666666623"/>
                  <c:y val="0.038596491228070177"/>
                </c:manualLayout>
              </c:layout>
              <c:showBubbleSize val="0"/>
              <c:showCatName val="1"/>
              <c:showLegendKey val="0"/>
              <c:showPercent val="1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spc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3"/>
              <c:dLblPos val="bestFit"/>
              <c:layout>
                <c:manualLayout>
                  <c:x val="0"/>
                  <c:y val="0.084210526315789472"/>
                </c:manualLayout>
              </c:layout>
              <c:showBubbleSize val="0"/>
              <c:showCatName val="1"/>
              <c:showLegendKey val="0"/>
              <c:showPercent val="1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spc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4"/>
              <c:dLblPos val="bestFit"/>
              <c:layout>
                <c:manualLayout>
                  <c:x val="0"/>
                  <c:y val="-0.073684210526315824"/>
                </c:manualLayout>
              </c:layout>
              <c:showBubbleSize val="0"/>
              <c:showCatName val="1"/>
              <c:showLegendKey val="0"/>
              <c:showPercent val="1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spc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5"/>
              <c:dLblPos val="bestFit"/>
              <c:layout>
                <c:manualLayout>
                  <c:x val="0.057870370370370371"/>
                  <c:y val="-0.042105263157894743"/>
                </c:manualLayout>
              </c:layout>
              <c:showBubbleSize val="0"/>
              <c:showCatName val="1"/>
              <c:showLegendKey val="0"/>
              <c:showPercent val="1"/>
              <c:showSerName val="0"/>
              <c:showVal val="0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spc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Pos val="outEnd"/>
            <c:leaderLines>
              <c:spPr bwMode="auto">
                <a:prstGeom prst="rect">
                  <a:avLst/>
                </a:prstGeom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showBubbleSize val="0"/>
            <c:showCatName val="1"/>
            <c:showLeaderLines val="1"/>
            <c:showLegendKey val="0"/>
            <c:showPercent val="1"/>
            <c:showSerName val="0"/>
            <c:showVal val="0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Лист1!$A$2:$A$7</c:f>
              <c:strCache>
                <c:ptCount val="6"/>
                <c:pt idx="0">
                  <c:v xml:space="preserve">Государство, общество, политика</c:v>
                </c:pt>
                <c:pt idx="1">
                  <c:v xml:space="preserve">Социальная сфера</c:v>
                </c:pt>
                <c:pt idx="2">
                  <c:v>Здравоохранение</c:v>
                </c:pt>
                <c:pt idx="3">
                  <c:v xml:space="preserve">Жилищно-коммунальная сфера</c:v>
                </c:pt>
                <c:pt idx="4">
                  <c:v xml:space="preserve">Оборона, безопасность, правосудие</c:v>
                </c:pt>
                <c:pt idx="5">
                  <c:v>Экономика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154</c:v>
                </c:pt>
                <c:pt idx="1">
                  <c:v>101</c:v>
                </c:pt>
                <c:pt idx="2">
                  <c:v>124</c:v>
                </c:pt>
                <c:pt idx="3">
                  <c:v>54</c:v>
                </c:pt>
                <c:pt idx="4">
                  <c:v>48</c:v>
                </c:pt>
                <c:pt idx="5">
                  <c:v>126</c:v>
                </c:pt>
              </c:numCache>
            </c:numRef>
          </c:val>
        </c:ser>
        <c:dLbls>
          <c:dLblPos val="outEnd"/>
          <c:showBubbleSize val="0"/>
          <c:showCatName val="1"/>
          <c:showLeaderLines val="1"/>
          <c:showLegendKey val="0"/>
          <c:showPercent val="0"/>
          <c:showSerName val="0"/>
          <c:showVal val="0"/>
        </c:dLbls>
      </c:pie3DChart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cs:styleClr val="auto"/>
    </cs:fontRef>
    <cs:defRPr sz="1000" b="1" i="0" u="none" strike="noStrike" spc="0"/>
  </cs:dataLabel>
  <cs:dataLabelCallout>
    <cs:lnRef idx="0">
      <cs:styleClr val="auto"/>
    </cs:lnRef>
    <cs:fillRef idx="0"/>
    <cs:effectRef idx="0"/>
    <cs:fontRef idx="minor">
      <cs:styleClr val="auto"/>
    </cs:fontRef>
    <cs:spPr bwMode="auto">
      <a:prstGeom prst="rect">
        <a:avLst/>
      </a:prstGeom>
      <a:solidFill>
        <a:schemeClr val="lt1"/>
      </a:solidFill>
      <a:ln>
        <a:solidFill>
          <a:schemeClr val="phClr"/>
        </a:solidFill>
      </a:ln>
    </cs:spPr>
    <cs:defRPr sz="1000" b="1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solidFill>
        <a:schemeClr val="phClr"/>
      </a:solidFill>
      <a:ln w="9525">
        <a:solidFill>
          <a:schemeClr val="lt1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cap="all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6"/>
</cs:chartStyle>
</file>

<file path=word/diagrams/_rels/data1.xml.rels><?xml version="1.0" encoding="UTF-8" standalone="yes"?><Relationships xmlns="http://schemas.openxmlformats.org/package/2006/relationships"><Relationship Id="rId1" Type="http://schemas.microsoft.com/office/2007/relationships/diagramDrawing" Target="diagrams/drawing1.xml" /></Relationships>
</file>

<file path=word/diagrams/_rels/drawing1.xml.rels><?xml version="1.0" encoding="UTF-8" standalone="yes"?><Relationships xmlns="http://schemas.openxmlformats.org/package/2006/relationships"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 xmlns:r="http://schemas.openxmlformats.org/officeDocument/2006/relationships">
  <dgm:ptLst>
    <dgm:pt modelId="{F1203E89-4874-4707-A4F1-36B3AF961977}" type="doc">
      <dgm:prSet loTypeId="urn:microsoft.com/office/officeart/2005/8/layout/hProcess9" loCatId="process" qsTypeId="urn:microsoft.com/office/officeart/2005/8/quickstyle/3d2" qsCatId="3D" csTypeId="urn:microsoft.com/office/officeart/2005/8/colors/accent1_2" csCatId="accent1" phldr="1"/>
      <dgm:spPr bwMode="auto"/>
    </dgm:pt>
    <dgm:pt modelId="{019B1C97-92BE-4FA7-8687-F567FADA65A9}">
      <dgm:prSet phldrT="[Text]" custT="1"/>
      <dgm:spPr bwMode="auto"/>
      <dgm:t>
        <a:bodyPr/>
        <a:lstStyle/>
        <a:p>
          <a:pPr>
            <a:defRPr/>
          </a:pPr>
          <a:r>
            <a:rPr lang="ru-RU" sz="1200"/>
            <a:t>2020 год</a:t>
          </a:r>
          <a:endParaRPr/>
        </a:p>
        <a:p>
          <a:pPr>
            <a:defRPr/>
          </a:pPr>
          <a:r>
            <a:rPr lang="ru-RU" sz="1200"/>
            <a:t>886 обращений</a:t>
          </a:r>
          <a:endParaRPr/>
        </a:p>
      </dgm:t>
    </dgm:pt>
    <dgm:pt modelId="{6496649C-E900-4714-AB3A-D167C506F7B3}" type="parTrans" cxnId="{B33E0A0C-E882-4C7D-B61E-D101B083A989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9E2EB03F-101D-44FD-8830-651B50100C09}" type="sibTrans" cxnId="{B33E0A0C-E882-4C7D-B61E-D101B083A989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C01A0F29-B092-498F-8E2C-841B8ECD4B7F}">
      <dgm:prSet phldrT="[Text]" custT="1"/>
      <dgm:spPr bwMode="auto"/>
      <dgm:t>
        <a:bodyPr/>
        <a:lstStyle/>
        <a:p>
          <a:pPr>
            <a:defRPr/>
          </a:pPr>
          <a:endParaRPr lang="ru-RU" sz="800"/>
        </a:p>
        <a:p>
          <a:pPr>
            <a:defRPr/>
          </a:pPr>
          <a:r>
            <a:rPr lang="ru-RU" sz="1200"/>
            <a:t>2021 год</a:t>
          </a:r>
          <a:endParaRPr/>
        </a:p>
        <a:p>
          <a:pPr>
            <a:defRPr/>
          </a:pPr>
          <a:r>
            <a:rPr lang="ru-RU" sz="1200"/>
            <a:t>1374 обращения (+55%)</a:t>
          </a:r>
          <a:endParaRPr lang="ru-RU" sz="800"/>
        </a:p>
        <a:p>
          <a:pPr>
            <a:defRPr/>
          </a:pPr>
          <a:r>
            <a:rPr lang="ru-RU" sz="800"/>
            <a:t>            </a:t>
          </a:r>
          <a:endParaRPr/>
        </a:p>
      </dgm:t>
    </dgm:pt>
    <dgm:pt modelId="{39C78F1E-FC38-4EC8-B6B5-55D404BC7A88}" type="parTrans" cxnId="{F15EF324-2DC6-4E2F-8BA0-2063FFC703BD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44BA0CA8-C244-487E-B4A8-E8A318038AA2}" type="sibTrans" cxnId="{F15EF324-2DC6-4E2F-8BA0-2063FFC703BD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1FD01517-2F5F-439F-BFBE-5D6E05A23D25}">
      <dgm:prSet phldrT="[Text]" custT="1"/>
      <dgm:spPr bwMode="auto"/>
      <dgm:t>
        <a:bodyPr/>
        <a:lstStyle/>
        <a:p>
          <a:pPr>
            <a:defRPr/>
          </a:pPr>
          <a:endParaRPr lang="ru-RU" sz="800"/>
        </a:p>
        <a:p>
          <a:pPr>
            <a:defRPr/>
          </a:pPr>
          <a:r>
            <a:rPr lang="ru-RU" sz="1200"/>
            <a:t>2022 год</a:t>
          </a:r>
          <a:endParaRPr/>
        </a:p>
        <a:p>
          <a:pPr>
            <a:defRPr/>
          </a:pPr>
          <a:r>
            <a:rPr lang="ru-RU" sz="1200"/>
            <a:t>743 обращения (-45%)  </a:t>
          </a:r>
          <a:endParaRPr/>
        </a:p>
        <a:p>
          <a:pPr>
            <a:defRPr/>
          </a:pPr>
          <a:endParaRPr lang="ru-RU" sz="800"/>
        </a:p>
      </dgm:t>
    </dgm:pt>
    <dgm:pt modelId="{3E3D1FC5-7493-401A-B5A5-338D1348BE59}" type="parTrans" cxnId="{01074D81-716D-45D9-B81B-73BB42EDCCF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11761278-37B4-4468-9BEA-E7239A1087F7}" type="sibTrans" cxnId="{01074D81-716D-45D9-B81B-73BB42EDCCF6}">
      <dgm:prSet/>
      <dgm:spPr bwMode="auto"/>
      <dgm:t>
        <a:bodyPr/>
        <a:lstStyle/>
        <a:p>
          <a:pPr>
            <a:defRPr/>
          </a:pPr>
          <a:endParaRPr lang="ru-RU"/>
        </a:p>
      </dgm:t>
    </dgm:pt>
    <dgm:pt modelId="{75E94F9D-032B-4811-9FC6-1732186E5181}" type="pres">
      <dgm:prSet presAssocID="{F1203E89-4874-4707-A4F1-36B3AF961977}" presName="CompostProcess" presStyleCnt="0">
        <dgm:presLayoutVars>
          <dgm:dir val="norm"/>
          <dgm:resizeHandles val="exact"/>
        </dgm:presLayoutVars>
      </dgm:prSet>
      <dgm:spPr bwMode="auto"/>
    </dgm:pt>
    <dgm:pt modelId="{2FDB667E-D4E8-4FAC-9008-367605D3F5AD}" type="pres">
      <dgm:prSet presAssocID="{F1203E89-4874-4707-A4F1-36B3AF961977}" presName="arrow" presStyleLbl="bgShp" presStyleIdx="0" presStyleCnt="1"/>
      <dgm:spPr bwMode="auto"/>
    </dgm:pt>
    <dgm:pt modelId="{7F11C001-F4A1-4218-8347-F1D7440C0791}" type="pres">
      <dgm:prSet presAssocID="{F1203E89-4874-4707-A4F1-36B3AF961977}" presName="linearProcess" presStyleCnt="0"/>
      <dgm:spPr bwMode="auto"/>
    </dgm:pt>
    <dgm:pt modelId="{31FB7BCD-050E-45DF-BB35-5AEA7467FF3A}" type="pres">
      <dgm:prSet presAssocID="{019B1C97-92BE-4FA7-8687-F567FADA65A9}" presName="textNode" presStyleLbl="node1" presStyleIdx="0" presStyleCnt="3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137976AA-6F43-4D40-B4B0-66E0F407D98D}" type="pres">
      <dgm:prSet presAssocID="{9E2EB03F-101D-44FD-8830-651B50100C09}" presName="sibTrans" presStyleCnt="0"/>
      <dgm:spPr bwMode="auto"/>
    </dgm:pt>
    <dgm:pt modelId="{E5F19A2F-5B7D-4FAC-BFD4-783036CCCE5A}" type="pres">
      <dgm:prSet custScaleX="111940" presAssocID="{C01A0F29-B092-498F-8E2C-841B8ECD4B7F}" presName="textNode" presStyleLbl="node1" presStyleIdx="1" presStyleCnt="3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  <dgm:pt modelId="{23A0B0CA-8777-4E3C-94B5-ED64337F736F}" type="pres">
      <dgm:prSet presAssocID="{44BA0CA8-C244-487E-B4A8-E8A318038AA2}" presName="sibTrans" presStyleCnt="0"/>
      <dgm:spPr bwMode="auto"/>
    </dgm:pt>
    <dgm:pt modelId="{122426E2-607E-4FDB-B15F-7B7215E579F7}" type="pres">
      <dgm:prSet presAssocID="{1FD01517-2F5F-439F-BFBE-5D6E05A23D25}" presName="textNode" presStyleLbl="node1" presStyleIdx="2" presStyleCnt="3">
        <dgm:presLayoutVars>
          <dgm:bulletEnabled val="1"/>
        </dgm:presLayoutVars>
      </dgm:prSet>
      <dgm:spPr bwMode="auto"/>
      <dgm:t>
        <a:bodyPr/>
        <a:lstStyle/>
        <a:p>
          <a:pPr>
            <a:defRPr/>
          </a:pPr>
          <a:endParaRPr lang="ru-RU"/>
        </a:p>
      </dgm:t>
    </dgm:pt>
  </dgm:ptLst>
  <dgm:cxnLst>
    <dgm:cxn modelId="{97D52D1E-681F-4354-BA8D-FDB382E4E447}" type="presOf" srcId="{1FD01517-2F5F-439F-BFBE-5D6E05A23D25}" destId="{122426E2-607E-4FDB-B15F-7B7215E579F7}" srcOrd="0" destOrd="0" presId="urn:microsoft.com/office/officeart/2005/8/layout/hProcess9"/>
    <dgm:cxn modelId="{8AD578B1-AC57-4CEF-B9D4-AB7E53FFF913}" type="presOf" srcId="{019B1C97-92BE-4FA7-8687-F567FADA65A9}" destId="{31FB7BCD-050E-45DF-BB35-5AEA7467FF3A}" srcOrd="0" destOrd="0" presId="urn:microsoft.com/office/officeart/2005/8/layout/hProcess9"/>
    <dgm:cxn modelId="{95E97AA7-4D37-4807-9BAB-FEAAF6123E82}" type="presOf" srcId="{F1203E89-4874-4707-A4F1-36B3AF961977}" destId="{75E94F9D-032B-4811-9FC6-1732186E5181}" srcOrd="0" destOrd="0" presId="urn:microsoft.com/office/officeart/2005/8/layout/hProcess9"/>
    <dgm:cxn modelId="{F15EF324-2DC6-4E2F-8BA0-2063FFC703BD}" srcId="{F1203E89-4874-4707-A4F1-36B3AF961977}" destId="{C01A0F29-B092-498F-8E2C-841B8ECD4B7F}" srcOrd="1" destOrd="0" parTransId="{39C78F1E-FC38-4EC8-B6B5-55D404BC7A88}" sibTransId="{44BA0CA8-C244-487E-B4A8-E8A318038AA2}"/>
    <dgm:cxn modelId="{B33E0A0C-E882-4C7D-B61E-D101B083A989}" srcId="{F1203E89-4874-4707-A4F1-36B3AF961977}" destId="{019B1C97-92BE-4FA7-8687-F567FADA65A9}" srcOrd="0" destOrd="0" parTransId="{6496649C-E900-4714-AB3A-D167C506F7B3}" sibTransId="{9E2EB03F-101D-44FD-8830-651B50100C09}"/>
    <dgm:cxn modelId="{47B96E5D-0F65-4A6D-86FF-1727AF74D221}" type="presOf" srcId="{C01A0F29-B092-498F-8E2C-841B8ECD4B7F}" destId="{E5F19A2F-5B7D-4FAC-BFD4-783036CCCE5A}" srcOrd="0" destOrd="0" presId="urn:microsoft.com/office/officeart/2005/8/layout/hProcess9"/>
    <dgm:cxn modelId="{01074D81-716D-45D9-B81B-73BB42EDCCF6}" srcId="{F1203E89-4874-4707-A4F1-36B3AF961977}" destId="{1FD01517-2F5F-439F-BFBE-5D6E05A23D25}" srcOrd="2" destOrd="0" parTransId="{3E3D1FC5-7493-401A-B5A5-338D1348BE59}" sibTransId="{11761278-37B4-4468-9BEA-E7239A1087F7}"/>
    <dgm:cxn modelId="{AC9B83BD-BC15-455E-BBD3-0FC974976224}" type="presParOf" srcId="{75E94F9D-032B-4811-9FC6-1732186E5181}" destId="{2FDB667E-D4E8-4FAC-9008-367605D3F5AD}" srcOrd="0" destOrd="0" presId="urn:microsoft.com/office/officeart/2005/8/layout/hProcess9"/>
    <dgm:cxn modelId="{9468B942-33AB-413E-8BA7-833EEB37B177}" type="presParOf" srcId="{75E94F9D-032B-4811-9FC6-1732186E5181}" destId="{7F11C001-F4A1-4218-8347-F1D7440C0791}" srcOrd="1" destOrd="0" presId="urn:microsoft.com/office/officeart/2005/8/layout/hProcess9"/>
    <dgm:cxn modelId="{8119DBE7-C265-4840-AD6A-663BAAFC2517}" type="presParOf" srcId="{7F11C001-F4A1-4218-8347-F1D7440C0791}" destId="{31FB7BCD-050E-45DF-BB35-5AEA7467FF3A}" srcOrd="0" destOrd="0" presId="urn:microsoft.com/office/officeart/2005/8/layout/hProcess9"/>
    <dgm:cxn modelId="{70F8FCF2-1D45-4D02-8319-63965C48B994}" type="presParOf" srcId="{7F11C001-F4A1-4218-8347-F1D7440C0791}" destId="{137976AA-6F43-4D40-B4B0-66E0F407D98D}" srcOrd="1" destOrd="0" presId="urn:microsoft.com/office/officeart/2005/8/layout/hProcess9"/>
    <dgm:cxn modelId="{0459964B-32F2-4454-B45F-37C3701EAED4}" type="presParOf" srcId="{7F11C001-F4A1-4218-8347-F1D7440C0791}" destId="{E5F19A2F-5B7D-4FAC-BFD4-783036CCCE5A}" srcOrd="2" destOrd="0" presId="urn:microsoft.com/office/officeart/2005/8/layout/hProcess9"/>
    <dgm:cxn modelId="{0504188B-A56F-46C2-BA54-24960B400EB1}" type="presParOf" srcId="{7F11C001-F4A1-4218-8347-F1D7440C0791}" destId="{23A0B0CA-8777-4E3C-94B5-ED64337F736F}" srcOrd="3" destOrd="0" presId="urn:microsoft.com/office/officeart/2005/8/layout/hProcess9"/>
    <dgm:cxn modelId="{7201476C-CED1-48E6-8814-8AB70E4F600F}" type="presParOf" srcId="{7F11C001-F4A1-4218-8347-F1D7440C0791}" destId="{122426E2-607E-4FDB-B15F-7B7215E579F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" minVer="http://schemas.openxmlformats.org/drawingml/2006/diagram"/>
    </a:ext>
  </dgm:extLst>
</dgm:dataModel>
</file>

<file path=word/diagrams/drawing1.xml><?xml version="1.0" encoding="utf-8"?>
<dsp:drawing xmlns:dsp="http://schemas.microsoft.com/office/drawing/2008/diagram" xmlns:dgm="http://schemas.openxmlformats.org/drawingml/2006/diagram" xmlns:a="http://schemas.openxmlformats.org/drawingml/2006/main" xmlns:r="http://schemas.openxmlformats.org/officeDocument/2006/relationships">
  <dsp:spTree>
    <dsp:nvGrpSpPr>
      <dsp:cNvPr id="0" name=""/>
      <dsp:cNvGrpSpPr/>
    </dsp:nvGrpSpPr>
    <dsp:grpSpPr bwMode="auto">
      <a:xfrm>
        <a:off x="0" y="0"/>
        <a:ext cx="5996940" cy="1859280"/>
        <a:chOff x="0" y="0"/>
        <a:chExt cx="0" cy="0"/>
      </a:xfrm>
    </dsp:grpSpPr>
    <dsp:sp modelId="{2FDB667E-D4E8-4FAC-9008-367605D3F5AD}">
      <dsp:nvSpPr>
        <dsp:cNvPr id="0" name=""/>
        <dsp:cNvSpPr/>
      </dsp:nvSpPr>
      <dsp:spPr bwMode="auto">
        <a:xfrm>
          <a:off x="449770" y="0"/>
          <a:ext cx="5097399" cy="1859280"/>
        </a:xfrm>
        <a:prstGeom prst="rightArrow">
          <a:avLst>
            <a:gd name="adj1" fmla="val 50000"/>
            <a:gd name="adj2" fmla="val 50000"/>
          </a:avLst>
        </a:prstGeom>
        <a:gradFill rotWithShape="0">
          <a:gsLst>
            <a:gs pos="0">
              <a:schemeClr val="accent1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rgbClr val="000000"/>
        </a:lnRef>
        <a:fillRef idx="3">
          <a:srgbClr val="000000"/>
        </a:fillRef>
        <a:effectRef idx="0">
          <a:srgbClr val="000000"/>
        </a:effectRef>
        <a:fontRef idx="minor"/>
      </dsp:style>
    </dsp:sp>
    <dsp:sp modelId="{31FB7BCD-050E-45DF-BB35-5AEA7467FF3A}">
      <dsp:nvSpPr>
        <dsp:cNvPr id="0" name=""/>
        <dsp:cNvSpPr/>
      </dsp:nvSpPr>
      <dsp:spPr bwMode="auto">
        <a:xfrm>
          <a:off x="1785" y="557784"/>
          <a:ext cx="1735833" cy="743712"/>
        </a:xfrm>
        <a:prstGeom prst="roundRect">
          <a:avLst>
            <a:gd name="adj" fmla="val 16667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rgbClr val="000000"/>
        </a:lnRef>
        <a:fillRef idx="3">
          <a:srgbClr val="000000"/>
        </a:fillRef>
        <a:effectRef idx="2">
          <a:srgbClr val="00000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/>
            <a:t>2020 год</a:t>
          </a:r>
          <a:endParaRPr/>
        </a:p>
        <a:p>
          <a:pPr lvl="0" algn="ctr" defTabSz="5334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/>
            <a:t>886 обращений</a:t>
          </a:r>
          <a:endParaRPr/>
        </a:p>
      </dsp:txBody>
      <dsp:txXfrm>
        <a:off x="38090" y="594089"/>
        <a:ext cx="1663223" cy="671102"/>
      </dsp:txXfrm>
    </dsp:sp>
    <dsp:sp modelId="{E5F19A2F-5B7D-4FAC-BFD4-783036CCCE5A}">
      <dsp:nvSpPr>
        <dsp:cNvPr id="0" name=""/>
        <dsp:cNvSpPr/>
      </dsp:nvSpPr>
      <dsp:spPr bwMode="auto">
        <a:xfrm>
          <a:off x="2026924" y="557784"/>
          <a:ext cx="1943091" cy="743712"/>
        </a:xfrm>
        <a:prstGeom prst="roundRect">
          <a:avLst>
            <a:gd name="adj" fmla="val 16667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rgbClr val="000000"/>
        </a:lnRef>
        <a:fillRef idx="3">
          <a:srgbClr val="000000"/>
        </a:fillRef>
        <a:effectRef idx="2">
          <a:srgbClr val="00000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800"/>
        </a:p>
        <a:p>
          <a:pPr lvl="0" algn="ctr" defTabSz="3556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/>
            <a:t>2021 год</a:t>
          </a:r>
          <a:endParaRPr/>
        </a:p>
        <a:p>
          <a:pPr lvl="0" algn="ctr" defTabSz="3556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/>
            <a:t>1374 обращения (+55%)</a:t>
          </a:r>
          <a:endParaRPr lang="ru-RU" sz="800"/>
        </a:p>
        <a:p>
          <a:pPr lvl="0" algn="ctr" defTabSz="3556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800"/>
            <a:t>            </a:t>
          </a:r>
          <a:endParaRPr/>
        </a:p>
      </dsp:txBody>
      <dsp:txXfrm>
        <a:off x="2063229" y="594089"/>
        <a:ext cx="1870480" cy="671102"/>
      </dsp:txXfrm>
    </dsp:sp>
    <dsp:sp modelId="{122426E2-607E-4FDB-B15F-7B7215E579F7}">
      <dsp:nvSpPr>
        <dsp:cNvPr id="0" name=""/>
        <dsp:cNvSpPr/>
      </dsp:nvSpPr>
      <dsp:spPr bwMode="auto">
        <a:xfrm>
          <a:off x="4259321" y="557784"/>
          <a:ext cx="1735833" cy="743712"/>
        </a:xfrm>
        <a:prstGeom prst="roundRect">
          <a:avLst>
            <a:gd name="adj" fmla="val 16667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rgbClr val="000000"/>
        </a:lnRef>
        <a:fillRef idx="3">
          <a:srgbClr val="000000"/>
        </a:fillRef>
        <a:effectRef idx="2">
          <a:srgbClr val="00000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800"/>
        </a:p>
        <a:p>
          <a:pPr lvl="0" algn="ctr" defTabSz="3556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/>
            <a:t>2022 год</a:t>
          </a:r>
          <a:endParaRPr/>
        </a:p>
        <a:p>
          <a:pPr lvl="0" algn="ctr" defTabSz="3556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r>
            <a:rPr lang="ru-RU" sz="1200"/>
            <a:t>743 обращения (-45%)  </a:t>
          </a:r>
          <a:endParaRPr/>
        </a:p>
        <a:p>
          <a:pPr lvl="0" algn="ctr" defTabSz="355600">
            <a:lnSpc>
              <a:spcPct val="90000"/>
            </a:lnSpc>
            <a:spcBef>
              <a:spcPts val="0"/>
            </a:spcBef>
            <a:spcAft>
              <a:spcPts val="0"/>
            </a:spcAft>
            <a:defRPr/>
          </a:pPr>
          <a:endParaRPr lang="ru-RU" sz="800"/>
        </a:p>
      </dsp:txBody>
      <dsp:txXfrm>
        <a:off x="4295626" y="594089"/>
        <a:ext cx="1663223" cy="6711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xmlns:r="http://schemas.openxmlformats.org/officeDocument/2006/relationships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 val="norm"/>
      <dgm:resizeHandles val="exact"/>
    </dgm:varLst>
    <dgm:alg type="composite">
      <dgm:param type="horzAlign" val="ctr"/>
      <dgm:param type="vertAlign" val="mid"/>
    </dgm:alg>
    <dgm:shape r:blip="">
      <dgm:adjLst/>
    </dgm:shape>
    <dgm:presOf/>
    <dgm:constrLst>
      <dgm:constr type="w" for="ch" forName="arrow" refType="w" fact="0.850000"/>
      <dgm:constr type="h" for="ch" forName="arrow" refType="h"/>
      <dgm:constr type="ctrX" for="ch" forName="arrow" refType="w" fact="0.500000"/>
      <dgm:constr type="ctrY" for="ch" forName="arrow" refType="h" fact="0.500000"/>
      <dgm:constr type="w" for="ch" forName="linearProcess" refType="w"/>
      <dgm:constr type="h" for="ch" forName="linearProcess" refType="h" fact="0.400000"/>
      <dgm:constr type="ctrX" for="ch" forName="linearProcess" refType="w" fact="0.500000"/>
      <dgm:constr type="ctrY" for="ch" forName="linearProcess" refType="h" fact="0.500000"/>
    </dgm:constrLst>
    <dgm:ruleLst/>
    <dgm:layoutNode name="arrow" styleLbl="bgShp">
      <dgm:alg type="sp"/>
      <dgm:choose name="Name0">
        <dgm:if name="Name1" func="var" arg="dir" op="equ" val="norm">
          <dgm:shape type="rightArrow" r:blip="">
            <dgm:adjLst/>
          </dgm:shape>
        </dgm:if>
        <dgm:else name="Name2">
          <dgm:shape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0000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type="roundRect" r:blip="">
            <dgm:adjLst/>
          </dgm:shape>
          <dgm:presOf axis="desOrSelf" ptType="node"/>
          <dgm:constrLst>
            <dgm:constr type="userA"/>
            <dgm:constr type="w" refType="userA" fact="0.300000"/>
            <dgm:constr type="tMarg" refType="primFontSz" fact="0.300000"/>
            <dgm:constr type="bMarg" refType="primFontSz" fact="0.300000"/>
            <dgm:constr type="lMarg" refType="primFontSz" fact="0.300000"/>
            <dgm:constr type="rMarg" refType="primFontSz" fact="0.300000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2">
        <a:srgbClr val="00000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2">
        <a:srgbClr val="00000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2">
        <a:srgbClr val="00000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2">
        <a:srgbClr val="00000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2">
        <a:srgbClr val="00000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1">
        <a:srgbClr val="00000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1">
        <a:srgbClr val="00000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2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1">
        <a:srgbClr val="000000"/>
      </a:lnRef>
      <a:fillRef idx="1">
        <a:srgbClr val="000000"/>
      </a:fillRef>
      <a:effectRef idx="2">
        <a:srgbClr val="00000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3">
        <a:srgbClr val="000000"/>
      </a:fillRef>
      <a:effectRef idx="0">
        <a:srgbClr val="00000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2">
        <a:srgbClr val="00000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0">
        <a:srgbClr val="00000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1">
        <a:srgbClr val="000000"/>
      </a:fillRef>
      <a:effectRef idx="2">
        <a:srgbClr val="00000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bodyPr/>
      <a:p>
        <a:pPr>
          <a:defRPr/>
        </a:pPr>
        <a:endParaRPr/>
      </a:p>
    </dgm:txPr>
    <dgm:style>
      <a:lnRef idx="0">
        <a:srgbClr val="000000"/>
      </a:lnRef>
      <a:fillRef idx="0">
        <a:srgbClr val="000000"/>
      </a:fillRef>
      <a:effectRef idx="0">
        <a:srgbClr val="000000"/>
      </a:effectRef>
      <a:fontRef idx="minor"/>
    </dgm:style>
  </dgm:styleLbl>
</dgm:styleDef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ED63-1BC4-45B8-96DA-D80479E6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Владимировна Федорова</dc:creator>
  <cp:keywords/>
  <dc:description/>
  <cp:revision>21</cp:revision>
  <dcterms:created xsi:type="dcterms:W3CDTF">2023-01-09T08:30:00Z</dcterms:created>
  <dcterms:modified xsi:type="dcterms:W3CDTF">2023-01-24T04:59:23Z</dcterms:modified>
</cp:coreProperties>
</file>